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12" w:rsidRDefault="00887F12" w:rsidP="00A3263E">
      <w:pPr>
        <w:rPr>
          <w:rFonts w:cs="Arial"/>
          <w:b/>
          <w:bCs/>
          <w:rtl/>
        </w:rPr>
      </w:pPr>
      <w:r w:rsidRPr="00887F12">
        <w:rPr>
          <w:rFonts w:cs="Arial"/>
          <w:b/>
          <w:bCs/>
          <w:rtl/>
        </w:rPr>
        <w:t>המטרה: א"י השלמה. האמצעי: פירוק הדמוקרטיה</w:t>
      </w:r>
      <w:r w:rsidRPr="00887F12">
        <w:rPr>
          <w:rFonts w:cs="Arial" w:hint="cs"/>
          <w:b/>
          <w:bCs/>
          <w:rtl/>
        </w:rPr>
        <w:t xml:space="preserve">, 19.02.21, הארץ </w:t>
      </w:r>
    </w:p>
    <w:p w:rsidR="00552E23" w:rsidRDefault="00552E23" w:rsidP="00A3263E">
      <w:pPr>
        <w:rPr>
          <w:rFonts w:cs="Arial"/>
          <w:b/>
          <w:bCs/>
          <w:rtl/>
        </w:rPr>
      </w:pPr>
      <w:hyperlink r:id="rId4" w:history="1">
        <w:r w:rsidRPr="004C620F">
          <w:rPr>
            <w:rStyle w:val="Hyperlink"/>
            <w:rFonts w:cs="Arial"/>
            <w:b/>
            <w:bCs/>
          </w:rPr>
          <w:t>https://www.haaretz.co.il/opinions/.premium-1.9550307</w:t>
        </w:r>
      </w:hyperlink>
    </w:p>
    <w:p w:rsidR="00552E23" w:rsidRPr="00552E23" w:rsidRDefault="00552E23" w:rsidP="00A3263E">
      <w:pPr>
        <w:rPr>
          <w:rFonts w:cs="Arial"/>
          <w:b/>
          <w:bCs/>
          <w:rtl/>
        </w:rPr>
      </w:pPr>
      <w:bookmarkStart w:id="0" w:name="_GoBack"/>
      <w:bookmarkEnd w:id="0"/>
    </w:p>
    <w:p w:rsidR="00A3263E" w:rsidRDefault="00A3263E" w:rsidP="00A3263E">
      <w:pPr>
        <w:rPr>
          <w:rtl/>
        </w:rPr>
      </w:pPr>
      <w:r>
        <w:rPr>
          <w:rFonts w:cs="Arial"/>
          <w:rtl/>
        </w:rPr>
        <w:t xml:space="preserve">בימים אלו מציינת מועצת יש"ע 40 שנה לכינונה, על רקע החשש מיישום הסכם האוטונומיה שנחתם בין ישראל למצרים בקמפ דייוויד 1978, וכהמשך ממוסד של תנועת "גוש אמונים". מהותה, והסכנה הגלומה בה למשטר הדמוקרטי בישראל באו לידי ביטוי באמנת היסוד שלה. המועצה, בראשות ישראל הראל, כפרה בסמכות של המוסדות הנבחרים של הדמוקרטיה הישראלית להכריע בעניין החזרת שטחים בתמורה להסכמי שלום. באמנה נכתב: "המועצה שוללת הקמת </w:t>
      </w:r>
      <w:proofErr w:type="spellStart"/>
      <w:r>
        <w:rPr>
          <w:rFonts w:cs="Arial"/>
          <w:rtl/>
        </w:rPr>
        <w:t>מינהל</w:t>
      </w:r>
      <w:proofErr w:type="spellEnd"/>
      <w:r>
        <w:rPr>
          <w:rFonts w:cs="Arial"/>
          <w:rtl/>
        </w:rPr>
        <w:t xml:space="preserve"> ריבוני לא ישראלי בחלקי א"י... רואה בכל הצעה שמגמתה למסור חלקים מא"י לריבון זר... מעשה בלתי חוקי".</w:t>
      </w:r>
    </w:p>
    <w:p w:rsidR="00A3263E" w:rsidRDefault="00A3263E" w:rsidP="00A3263E">
      <w:pPr>
        <w:rPr>
          <w:rtl/>
        </w:rPr>
      </w:pPr>
      <w:r>
        <w:rPr>
          <w:rFonts w:cs="Arial"/>
          <w:rtl/>
        </w:rPr>
        <w:t xml:space="preserve">הגישה הזאת היא המשך טבעי לתורתו של אבי גוש אמונים, הרב צבי יהודה קוק (הרצי"ה), שטען: "הארץ הזו היא שלנו... והיא בכל גבולותיה </w:t>
      </w:r>
      <w:proofErr w:type="spellStart"/>
      <w:r>
        <w:rPr>
          <w:rFonts w:cs="Arial"/>
          <w:rtl/>
        </w:rPr>
        <w:t>התנ"כיים</w:t>
      </w:r>
      <w:proofErr w:type="spellEnd"/>
      <w:r>
        <w:rPr>
          <w:rFonts w:cs="Arial"/>
          <w:rtl/>
        </w:rPr>
        <w:t xml:space="preserve"> שייכת לשלטון ישראל". לפיכך הוא הוסיף לשלוש העבירות של "ייהרג ובל יעבור" גם החזרת שטחים. בראיון ל"מעריב" ב–1974 הוא אמר: "על הארץ הזאת, לכל גבולותיה... כולנו מחויבים להיהרג ולא לעבור!".</w:t>
      </w:r>
    </w:p>
    <w:p w:rsidR="00A3263E" w:rsidRDefault="00A3263E" w:rsidP="00A3263E">
      <w:pPr>
        <w:rPr>
          <w:rtl/>
        </w:rPr>
      </w:pPr>
      <w:r>
        <w:rPr>
          <w:rFonts w:cs="Arial"/>
          <w:rtl/>
        </w:rPr>
        <w:t>אכן, ההנהגה הישראלית ראתה באנשי גוש אמונים ובתפישתם סכנה לדמוקרטיה הישראלית. ב–1979 יצחק רבין כתב עליהם (ב"פנקס שירות"): "חבורה פרועה שכזאת, נוטלת לעצמה מנדט בשם שמים... הכל במסווה מאוס של אהבת א"י, ופורצת אל הרחובות בגסות רוח להטיל אימה וטרור". ועל הגוש כתב: "בגוש אמונים ראיתי תופעה חמורה ביותר — סרטן בגופה של הדמוקרטיה הישראלית". מנחם בגין כתב בדצמבר 1977: "את זאת אמרתי פעם בוויכוח לאנשי גוש אמונים... יש לכם חולשה אחת — פיתחתם בקרבכם איזה תסביך של משיחיות".</w:t>
      </w:r>
    </w:p>
    <w:p w:rsidR="00A3263E" w:rsidRDefault="00A3263E" w:rsidP="00A3263E">
      <w:pPr>
        <w:rPr>
          <w:rtl/>
        </w:rPr>
      </w:pPr>
      <w:r>
        <w:rPr>
          <w:rFonts w:cs="Arial"/>
          <w:rtl/>
        </w:rPr>
        <w:t xml:space="preserve">גם ביתה הפוליטי של הציונות הדתית, </w:t>
      </w:r>
      <w:proofErr w:type="spellStart"/>
      <w:r>
        <w:rPr>
          <w:rFonts w:cs="Arial"/>
          <w:rtl/>
        </w:rPr>
        <w:t>המפד"ל</w:t>
      </w:r>
      <w:proofErr w:type="spellEnd"/>
      <w:r>
        <w:rPr>
          <w:rFonts w:cs="Arial"/>
          <w:rtl/>
        </w:rPr>
        <w:t xml:space="preserve">, נכבש על ידי אנשי הגוש. הם דחקו את המייסדים המתונים והעמידו את א"י מעל עם ישראל, והעניקו לתורת ישראל פרשנות מטאפיסית, לפיה החלו פעמי הגאולה, אך זו מותנית בכיבוש הארץ ובסילוק הפלסטינים ממנה. הם הפכו את הלאומיות הציונית ללאומנות משיחית, ואף הרחיקו לכת עד כדי אימוץ משנתו הגזענית של מאיר כהנא. על כך אמר יו"ר </w:t>
      </w:r>
      <w:proofErr w:type="spellStart"/>
      <w:r>
        <w:rPr>
          <w:rFonts w:cs="Arial"/>
          <w:rtl/>
        </w:rPr>
        <w:t>המפד"ל</w:t>
      </w:r>
      <w:proofErr w:type="spellEnd"/>
      <w:r>
        <w:rPr>
          <w:rFonts w:cs="Arial"/>
          <w:rtl/>
        </w:rPr>
        <w:t>, יוסף בורג, בראיון ל"דבר" בספטמבר 1994: "הם נושאים על נס את שלמות הארץ, ושכחו את שלמות המדינה, שכחו את שלמות התורה, שכחו את שלמות המחנה. אם דרך רעיון שלמות הארץ אפשר להגיע באופן מחשבתי לכהנא, זוהי אשמה גדולה".</w:t>
      </w:r>
    </w:p>
    <w:p w:rsidR="00A3263E" w:rsidRDefault="00A3263E" w:rsidP="00A3263E">
      <w:pPr>
        <w:rPr>
          <w:rtl/>
        </w:rPr>
      </w:pPr>
      <w:r>
        <w:rPr>
          <w:rFonts w:cs="Arial"/>
          <w:rtl/>
        </w:rPr>
        <w:t>חטאם של המנהיגים הנ"ל, חילונים ודתיים, היה בכך שסברו כי ניתן יהיה להפריד בין "ההתיישבות הביטחונית" בבקעת הירדן ובעוטף ירושלים (תוכנית אלון) לבין ההתיישבות המשיחית בשטחי הגדה המערבית, ולשלוט בהתיישבות המשיחית לאורך זמן. וכך קבע רבין בממשלתו הראשונה: "ללב הגדה המערבית, המאוכלס בצפיפות על ידי הערבים, אל לנו לדחוק מתיישבים יהודים... אין בה [בהתיישבות יהודית] צורך והצדקה מבחינה ביטחונית".</w:t>
      </w:r>
    </w:p>
    <w:p w:rsidR="00A3263E" w:rsidRDefault="00A3263E" w:rsidP="00A3263E">
      <w:pPr>
        <w:rPr>
          <w:rtl/>
        </w:rPr>
      </w:pPr>
      <w:r>
        <w:rPr>
          <w:rFonts w:cs="Arial"/>
          <w:rtl/>
        </w:rPr>
        <w:t>בממשלת לוי אשכול, שהחלה את מפעל ההתנחלות, ידעו כי שני סוגי ואזורי ההתיישבות פסולים. במברק שנשלח ממשרד החוץ לשגריר רבין בארה"ב במארס 1968, נכתב: "הקו העקבי שלנו היה ועודנו להתחמק מדיון עם גורמים זרים על המצב בשטחים... הכרה מפורשת מצדנו בתחולת האמנה (ז'נבה, ש"א) תבליט בעיות קשות מבחינת האמנה לגבי... ההתיישבות ועוד".</w:t>
      </w:r>
    </w:p>
    <w:p w:rsidR="00A3263E" w:rsidRDefault="00A3263E" w:rsidP="00A3263E">
      <w:pPr>
        <w:rPr>
          <w:rtl/>
        </w:rPr>
      </w:pPr>
      <w:r>
        <w:rPr>
          <w:rFonts w:cs="Arial"/>
          <w:rtl/>
        </w:rPr>
        <w:t xml:space="preserve">מערכת הביטחון שיתפה פעולה עם הניסיון להונות את העולם, מה שלימים התברר כהונאה עצמית. במברק סודי ששלח ב–27 בספטמבר 1967 שלמה גזית, יו"ר ועדת התיאום </w:t>
      </w:r>
      <w:proofErr w:type="spellStart"/>
      <w:r>
        <w:rPr>
          <w:rFonts w:cs="Arial"/>
          <w:rtl/>
        </w:rPr>
        <w:t>המדיני־ביטחוני</w:t>
      </w:r>
      <w:proofErr w:type="spellEnd"/>
      <w:r>
        <w:rPr>
          <w:rFonts w:cs="Arial"/>
          <w:rtl/>
        </w:rPr>
        <w:t xml:space="preserve"> בשטחים, לרמטכ"ל רבין, לגבי "היאחזות בגוש עציון", כתב: "כ'כיסוי' לצורכי המערכה המדינית, תופיע ההיאחזות של הנוער הדתי בגוש עציון כהיאחזות נח"ל צבאית. הנחיות בקשר לכך תימסרנה למתיישבים במקום, אין כוונה לנקוט בצעדים מעשיים, על ידי צה"ל, למימוש 'כיסוי' זה". את המהלך אישר ראש הממשלה אשכול, אף שאמר: "הגדיים הללו יהפכו לתיישים", ולא ידע עד כמה צדק. ראשי יש"ע לא הבחינו בין "מרחבי הביטחון" שהממשלה קבעה לבין הגדה בכללותה, לא ייחסו חשיבות לאמנות הבינלאומיות המחייבות, או להתחייבות כלשהי שלהם, שסותרת את יעדם ארוך הטווח "לרשת את הארץ כולה". הרב שלמה גורן, מראשי המחנה, קבע: "אין בכוח שום חוק לאומי (חוק </w:t>
      </w:r>
      <w:r>
        <w:rPr>
          <w:rFonts w:cs="Arial"/>
          <w:rtl/>
        </w:rPr>
        <w:lastRenderedPageBreak/>
        <w:t>הכנסת, ש"א) או בינלאומי לשנות מעמדנו, זכויותינו... דינם של אזורים אלו, לפי דין תורה, כא"י תחת שלטון יהודי לכל דבר ויש על כולה ריבונות, קניין ובעלות יהודית".</w:t>
      </w:r>
    </w:p>
    <w:p w:rsidR="00A3263E" w:rsidRDefault="00A3263E" w:rsidP="00A3263E">
      <w:pPr>
        <w:rPr>
          <w:rtl/>
        </w:rPr>
      </w:pPr>
      <w:r>
        <w:rPr>
          <w:rFonts w:cs="Arial"/>
          <w:rtl/>
        </w:rPr>
        <w:t>כשממשלת רבין החליטה ב–1992 על הפסקת הקמת התנחלויות חדשות, מועצת יש"ע עברה להקים מאחזים לא חוקיים בסיוע החטיבה להתיישבות ותקציבים ממשרדי ממשלה סוררים. גם כשאנשיה התחייבו על פינוי חלק מהמאחזים בהסכם עם ממשלת אהוד ברק ב–1999, הם מעולם לא מימשו זאת. היום הם מכנים אותם בשפה מכובסת "התיישבות צעירה". על אלו נכתב בדו"ח של שופט העליון אדמונד לוי (2012): "נתגלתה לעינינו תופעה בנושא ההתיישבות הישראלית ביו"ש שאינה הולמת מדינה הדוגלת בשלטון החוק... לחסידי ההתיישבות וגם לדרג המדיני צריך להיות ברור כי הם מצווים לפעול במסגרת החוק בלבד, ועל מוסדות המדינה מוטלת החובה לפעול בעתיד בנחישות לאכיפת החוק".</w:t>
      </w:r>
    </w:p>
    <w:p w:rsidR="00A3263E" w:rsidRDefault="00A3263E" w:rsidP="00A3263E">
      <w:pPr>
        <w:rPr>
          <w:rtl/>
        </w:rPr>
      </w:pPr>
      <w:r>
        <w:rPr>
          <w:rFonts w:cs="Arial"/>
          <w:rtl/>
        </w:rPr>
        <w:t xml:space="preserve">כשממשלת שרון יישמה את תוכנית ההתנתקות מעזה וצפון השומרון בהתאם לחקיקת הכנסת, ראשי מועצת יש"ע לא כיבדו את ההסכמים שעליהם חתמו כפרטים. "אֵם ההתנחלויות", עו"ד פליאה </w:t>
      </w:r>
      <w:proofErr w:type="spellStart"/>
      <w:r>
        <w:rPr>
          <w:rFonts w:cs="Arial"/>
          <w:rtl/>
        </w:rPr>
        <w:t>אלבק</w:t>
      </w:r>
      <w:proofErr w:type="spellEnd"/>
      <w:r>
        <w:rPr>
          <w:rFonts w:cs="Arial"/>
          <w:rtl/>
        </w:rPr>
        <w:t xml:space="preserve"> ממשרד המשפטים, הסבירה בראיון ל"הארץ" במארס 2005: "אין זכות קניין (למתנחלים, ש"א), כי היא ניתנה עם המגבלה שיכול להיות שיצטרכו להחזיר את הקרקע, אם יסתיים הממשל הצבאי... הסכמי המקרקעין שעליהם חתמה כל אחת ממשפחות המתנחלים... כוללים סעיפים המאפשרים את ביטולם של ההסכמים".</w:t>
      </w:r>
    </w:p>
    <w:p w:rsidR="00A3263E" w:rsidRDefault="00A3263E" w:rsidP="00A3263E">
      <w:pPr>
        <w:rPr>
          <w:rtl/>
        </w:rPr>
      </w:pPr>
      <w:r>
        <w:rPr>
          <w:rFonts w:cs="Arial"/>
          <w:rtl/>
        </w:rPr>
        <w:t>לב המאבק של מועצת יש"ע הוא במניעת כל הסכם קבע עם הפלסטינים — שבעיניהם יסכל את התהליך הדטרמיניסטי שנקבע על ידי הגבורה לביאת המשיח "וכינון בית דוד" — ובמסגרת המאבק הם שוללים את הלגיטימיות של ממשלת ישראל להגיע להסכם קבע. ב–1986 החליטה מועצת יש"ע כי "החזרת שטחים ביהודה, שומרון ועזה היא פשע", וכי "אל כל שלטון בישראל שיבצע אחד מהפשעים הנ"ל נתייחס כאל שלטון בלתי חוקי...".</w:t>
      </w:r>
    </w:p>
    <w:p w:rsidR="00A3263E" w:rsidRDefault="00A3263E" w:rsidP="00A3263E">
      <w:pPr>
        <w:rPr>
          <w:rtl/>
        </w:rPr>
      </w:pPr>
      <w:r>
        <w:rPr>
          <w:rFonts w:cs="Arial"/>
          <w:rtl/>
        </w:rPr>
        <w:t>בעקבות הסכם אוסלו, מנחם פליקס, ממנהיגי המתנחלים, כתב בעיתון "נקודה" בדצמבר 1993: "לשלטון הנוכחי במדינת ישראל אין כל סמכות להמשיך ולשלוט במדינת היהודים... הוא שלטון בלתי לגיטימי". הרב שלמה אבינר, מתלמידי הרצי"ה, אף שלל את הכרעת הרוב בספרו "עם וארצו תחיית האומה בארצה" (1999): "ואפילו יצויר שרוב העם תומך במהלך מביש ומסוכן זה (פינוי שטחים, ש"א) — אין בכך כל הצדקה מוסרית. לא די בכך שההחלטה תושג על ידי מנגנון מדיני כדי שתהיה מוסרית".</w:t>
      </w:r>
    </w:p>
    <w:p w:rsidR="00A3263E" w:rsidRDefault="00A3263E" w:rsidP="00A3263E">
      <w:pPr>
        <w:rPr>
          <w:rtl/>
        </w:rPr>
      </w:pPr>
      <w:r>
        <w:rPr>
          <w:rFonts w:cs="Arial"/>
          <w:rtl/>
        </w:rPr>
        <w:t xml:space="preserve">מועצת יש"ע ממשיכה להוביל את חזונה המשיחי לא"י ש"כולה שלי", גם במחיר אובדן הדמוקרטיה הישראלית, כפי שאמר בני </w:t>
      </w:r>
      <w:proofErr w:type="spellStart"/>
      <w:r>
        <w:rPr>
          <w:rFonts w:cs="Arial"/>
          <w:rtl/>
        </w:rPr>
        <w:t>קצובר</w:t>
      </w:r>
      <w:proofErr w:type="spellEnd"/>
      <w:r>
        <w:rPr>
          <w:rFonts w:cs="Arial"/>
          <w:rtl/>
        </w:rPr>
        <w:t>, יו"ר "ועד מתיישבי השומרון", ל"הארץ" בינואר 2012: "הדמוקרטיה הישראלית סיימה את תפקידה, והיא חייבת להתפרק ולהתכופף בפני היהדות".</w:t>
      </w:r>
    </w:p>
    <w:p w:rsidR="00A3263E" w:rsidRDefault="00A3263E" w:rsidP="00A3263E">
      <w:pPr>
        <w:rPr>
          <w:rtl/>
        </w:rPr>
      </w:pPr>
      <w:r>
        <w:rPr>
          <w:rFonts w:cs="Arial"/>
          <w:rtl/>
        </w:rPr>
        <w:t>עמדתה המשיחית הובילה גם להתנגדות ליוזמת הנשיא האמריקאי היוצא דונלד טראמפ, כפי שנכתב באתר מועצת יש"ע, "תוכנית טראמפ והמפה שלצדה מקדמות את הקמתה המסוכנת של מדינה פלסטינית. א"י שייכת לנו".</w:t>
      </w:r>
    </w:p>
    <w:p w:rsidR="00A3263E" w:rsidRDefault="00A3263E" w:rsidP="00A3263E">
      <w:pPr>
        <w:rPr>
          <w:rtl/>
        </w:rPr>
      </w:pPr>
      <w:r>
        <w:rPr>
          <w:rFonts w:cs="Arial"/>
          <w:rtl/>
        </w:rPr>
        <w:t xml:space="preserve">המשיחיות של אנשי מועצת יש"ע, ושלילתם את סמכות המוסדות הנבחרים של הדמוקרטיה הישראלית, אינן נעצרות בגדה. בנוסף לניסיונות המתמשכים להפר את חוק ההתנתקות ולהשתלט מחדש על אדמות חומש </w:t>
      </w:r>
      <w:proofErr w:type="spellStart"/>
      <w:r>
        <w:rPr>
          <w:rFonts w:cs="Arial"/>
          <w:rtl/>
        </w:rPr>
        <w:t>ושאנור</w:t>
      </w:r>
      <w:proofErr w:type="spellEnd"/>
      <w:r>
        <w:rPr>
          <w:rFonts w:cs="Arial"/>
          <w:rtl/>
        </w:rPr>
        <w:t xml:space="preserve"> בצפון השומרון, שפונו ב–2005, מעניין לעיין באתר המועצה בתשובתה לשאלה, "מדוע הושארה האות ע' בשם המועצה?". ההסבר: "</w:t>
      </w:r>
      <w:proofErr w:type="spellStart"/>
      <w:r>
        <w:rPr>
          <w:rFonts w:cs="Arial"/>
          <w:rtl/>
        </w:rPr>
        <w:t>הע</w:t>
      </w:r>
      <w:proofErr w:type="spellEnd"/>
      <w:r>
        <w:rPr>
          <w:rFonts w:cs="Arial"/>
          <w:rtl/>
        </w:rPr>
        <w:t>', שייצגה את ההתיישבות היהודית בחבל עזה — נשארה ותישאר, ולא במקרה... זוהי עין צופייה לעתיד: אנו בע"ה עוד נשוב ונראה בקוממיות גוש קטיף מעפרו".</w:t>
      </w:r>
    </w:p>
    <w:p w:rsidR="00A3263E" w:rsidRDefault="00A3263E" w:rsidP="00A3263E">
      <w:pPr>
        <w:rPr>
          <w:rtl/>
        </w:rPr>
      </w:pPr>
      <w:r>
        <w:rPr>
          <w:rFonts w:cs="Arial"/>
          <w:rtl/>
        </w:rPr>
        <w:t xml:space="preserve">גם היום, ערב הבחירות לכנסת, התשובה ההולמת למועצת יש"ע ולתומכיה מקרב מועמדי הימין לראשות הממשלה, נשארה הצוואה של רבין: "נגד תפישתם הבסיסית, הנוגדת את בסיסה הדמוקרטי של ישראל, היה הכרח להיאבק מאבק אידיאי, החושף את המשמעות האמיתית של עמדות הגוש ודרכי פעולתו". אחרת ייחתם גורלה של מדינת ישראל, וכפי שחזה ישעיהו </w:t>
      </w:r>
      <w:proofErr w:type="spellStart"/>
      <w:r>
        <w:rPr>
          <w:rFonts w:cs="Arial"/>
          <w:rtl/>
        </w:rPr>
        <w:t>ליבוביץ</w:t>
      </w:r>
      <w:proofErr w:type="spellEnd"/>
      <w:r>
        <w:rPr>
          <w:rFonts w:cs="Arial"/>
          <w:rtl/>
        </w:rPr>
        <w:t>, "משנתו המשיחית של הרצי"ה תגרום למעבר 'מן האנושיות דרך הלאומיות אל החייתיות' ותהפוך את 'עם ה'' ל'עם הארץ'".</w:t>
      </w:r>
    </w:p>
    <w:p w:rsidR="00A3263E" w:rsidRDefault="00A3263E" w:rsidP="00A3263E">
      <w:pPr>
        <w:rPr>
          <w:rtl/>
        </w:rPr>
      </w:pPr>
    </w:p>
    <w:p w:rsidR="00A3263E" w:rsidRDefault="00A3263E" w:rsidP="00A3263E">
      <w:pPr>
        <w:rPr>
          <w:rtl/>
        </w:rPr>
      </w:pPr>
      <w:r>
        <w:rPr>
          <w:rFonts w:cs="Arial"/>
          <w:rtl/>
        </w:rPr>
        <w:t xml:space="preserve">אל"מ (במיל') ד"ר אריאלי הוא עמית מחקר במכון טרומן לשלום באוניברסיטה העברית. פירסם בימים אלה את אטלס מכון טרומן לסכסוך </w:t>
      </w:r>
      <w:proofErr w:type="spellStart"/>
      <w:r>
        <w:rPr>
          <w:rFonts w:cs="Arial"/>
          <w:rtl/>
        </w:rPr>
        <w:t>היהודי־ערבי</w:t>
      </w:r>
      <w:proofErr w:type="spellEnd"/>
      <w:r>
        <w:rPr>
          <w:rFonts w:cs="Arial"/>
          <w:rtl/>
        </w:rPr>
        <w:t>, בשלוש שפות</w:t>
      </w:r>
    </w:p>
    <w:p w:rsidR="00A3263E" w:rsidRDefault="00A3263E" w:rsidP="00A3263E">
      <w:pPr>
        <w:rPr>
          <w:rtl/>
        </w:rPr>
      </w:pPr>
    </w:p>
    <w:sectPr w:rsidR="00A3263E" w:rsidSect="00A96D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58"/>
    <w:rsid w:val="00552E23"/>
    <w:rsid w:val="00887F12"/>
    <w:rsid w:val="00A3263E"/>
    <w:rsid w:val="00A96DC0"/>
    <w:rsid w:val="00B122A1"/>
    <w:rsid w:val="00BD6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0D6E4-42E6-4EF4-9630-0771A846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52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14446">
      <w:bodyDiv w:val="1"/>
      <w:marLeft w:val="0"/>
      <w:marRight w:val="0"/>
      <w:marTop w:val="0"/>
      <w:marBottom w:val="0"/>
      <w:divBdr>
        <w:top w:val="none" w:sz="0" w:space="0" w:color="auto"/>
        <w:left w:val="none" w:sz="0" w:space="0" w:color="auto"/>
        <w:bottom w:val="none" w:sz="0" w:space="0" w:color="auto"/>
        <w:right w:val="none" w:sz="0" w:space="0" w:color="auto"/>
      </w:divBdr>
      <w:divsChild>
        <w:div w:id="1384713924">
          <w:marLeft w:val="0"/>
          <w:marRight w:val="0"/>
          <w:marTop w:val="0"/>
          <w:marBottom w:val="0"/>
          <w:divBdr>
            <w:top w:val="none" w:sz="0" w:space="0" w:color="auto"/>
            <w:left w:val="none" w:sz="0" w:space="0" w:color="auto"/>
            <w:bottom w:val="none" w:sz="0" w:space="0" w:color="auto"/>
            <w:right w:val="none" w:sz="0" w:space="0" w:color="auto"/>
          </w:divBdr>
          <w:divsChild>
            <w:div w:id="114643465">
              <w:marLeft w:val="0"/>
              <w:marRight w:val="0"/>
              <w:marTop w:val="0"/>
              <w:marBottom w:val="0"/>
              <w:divBdr>
                <w:top w:val="none" w:sz="0" w:space="0" w:color="auto"/>
                <w:left w:val="none" w:sz="0" w:space="0" w:color="auto"/>
                <w:bottom w:val="none" w:sz="0" w:space="0" w:color="auto"/>
                <w:right w:val="none" w:sz="0" w:space="0" w:color="auto"/>
              </w:divBdr>
              <w:divsChild>
                <w:div w:id="675184112">
                  <w:marLeft w:val="0"/>
                  <w:marRight w:val="0"/>
                  <w:marTop w:val="0"/>
                  <w:marBottom w:val="0"/>
                  <w:divBdr>
                    <w:top w:val="none" w:sz="0" w:space="0" w:color="auto"/>
                    <w:left w:val="none" w:sz="0" w:space="0" w:color="auto"/>
                    <w:bottom w:val="none" w:sz="0" w:space="0" w:color="auto"/>
                    <w:right w:val="none" w:sz="0" w:space="0" w:color="auto"/>
                  </w:divBdr>
                  <w:divsChild>
                    <w:div w:id="2095861055">
                      <w:marLeft w:val="0"/>
                      <w:marRight w:val="0"/>
                      <w:marTop w:val="0"/>
                      <w:marBottom w:val="0"/>
                      <w:divBdr>
                        <w:top w:val="none" w:sz="0" w:space="0" w:color="auto"/>
                        <w:left w:val="none" w:sz="0" w:space="0" w:color="auto"/>
                        <w:bottom w:val="none" w:sz="0" w:space="0" w:color="auto"/>
                        <w:right w:val="none" w:sz="0" w:space="0" w:color="auto"/>
                      </w:divBdr>
                      <w:divsChild>
                        <w:div w:id="542055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327701">
                      <w:marLeft w:val="0"/>
                      <w:marRight w:val="0"/>
                      <w:marTop w:val="0"/>
                      <w:marBottom w:val="0"/>
                      <w:divBdr>
                        <w:top w:val="none" w:sz="0" w:space="0" w:color="auto"/>
                        <w:left w:val="none" w:sz="0" w:space="0" w:color="auto"/>
                        <w:bottom w:val="none" w:sz="0" w:space="0" w:color="auto"/>
                        <w:right w:val="none" w:sz="0" w:space="0" w:color="auto"/>
                      </w:divBdr>
                      <w:divsChild>
                        <w:div w:id="1510558105">
                          <w:marLeft w:val="0"/>
                          <w:marRight w:val="0"/>
                          <w:marTop w:val="0"/>
                          <w:marBottom w:val="0"/>
                          <w:divBdr>
                            <w:top w:val="none" w:sz="0" w:space="0" w:color="auto"/>
                            <w:left w:val="none" w:sz="0" w:space="0" w:color="auto"/>
                            <w:bottom w:val="none" w:sz="0" w:space="0" w:color="auto"/>
                            <w:right w:val="none" w:sz="0" w:space="0" w:color="auto"/>
                          </w:divBdr>
                          <w:divsChild>
                            <w:div w:id="1195577941">
                              <w:marLeft w:val="0"/>
                              <w:marRight w:val="0"/>
                              <w:marTop w:val="0"/>
                              <w:marBottom w:val="0"/>
                              <w:divBdr>
                                <w:top w:val="none" w:sz="0" w:space="0" w:color="auto"/>
                                <w:left w:val="none" w:sz="0" w:space="0" w:color="auto"/>
                                <w:bottom w:val="none" w:sz="0" w:space="0" w:color="auto"/>
                                <w:right w:val="none" w:sz="0" w:space="0" w:color="auto"/>
                              </w:divBdr>
                              <w:divsChild>
                                <w:div w:id="20735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61824">
                      <w:marLeft w:val="0"/>
                      <w:marRight w:val="0"/>
                      <w:marTop w:val="0"/>
                      <w:marBottom w:val="0"/>
                      <w:divBdr>
                        <w:top w:val="none" w:sz="0" w:space="0" w:color="auto"/>
                        <w:left w:val="none" w:sz="0" w:space="0" w:color="auto"/>
                        <w:bottom w:val="none" w:sz="0" w:space="0" w:color="auto"/>
                        <w:right w:val="none" w:sz="0" w:space="0" w:color="auto"/>
                      </w:divBdr>
                      <w:divsChild>
                        <w:div w:id="1908415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5101061">
          <w:marLeft w:val="0"/>
          <w:marRight w:val="0"/>
          <w:marTop w:val="0"/>
          <w:marBottom w:val="0"/>
          <w:divBdr>
            <w:top w:val="none" w:sz="0" w:space="0" w:color="auto"/>
            <w:left w:val="none" w:sz="0" w:space="0" w:color="auto"/>
            <w:bottom w:val="none" w:sz="0" w:space="0" w:color="auto"/>
            <w:right w:val="none" w:sz="0" w:space="0" w:color="auto"/>
          </w:divBdr>
          <w:divsChild>
            <w:div w:id="876746541">
              <w:marLeft w:val="0"/>
              <w:marRight w:val="0"/>
              <w:marTop w:val="0"/>
              <w:marBottom w:val="0"/>
              <w:divBdr>
                <w:top w:val="none" w:sz="0" w:space="0" w:color="auto"/>
                <w:left w:val="none" w:sz="0" w:space="0" w:color="auto"/>
                <w:bottom w:val="none" w:sz="0" w:space="0" w:color="auto"/>
                <w:right w:val="none" w:sz="0" w:space="0" w:color="auto"/>
              </w:divBdr>
              <w:divsChild>
                <w:div w:id="1834101894">
                  <w:marLeft w:val="0"/>
                  <w:marRight w:val="0"/>
                  <w:marTop w:val="0"/>
                  <w:marBottom w:val="0"/>
                  <w:divBdr>
                    <w:top w:val="none" w:sz="0" w:space="0" w:color="auto"/>
                    <w:left w:val="none" w:sz="0" w:space="0" w:color="auto"/>
                    <w:bottom w:val="none" w:sz="0" w:space="0" w:color="auto"/>
                    <w:right w:val="none" w:sz="0" w:space="0" w:color="auto"/>
                  </w:divBdr>
                  <w:divsChild>
                    <w:div w:id="1730379617">
                      <w:marLeft w:val="0"/>
                      <w:marRight w:val="0"/>
                      <w:marTop w:val="0"/>
                      <w:marBottom w:val="0"/>
                      <w:divBdr>
                        <w:top w:val="none" w:sz="0" w:space="0" w:color="auto"/>
                        <w:left w:val="none" w:sz="0" w:space="0" w:color="auto"/>
                        <w:bottom w:val="none" w:sz="0" w:space="0" w:color="auto"/>
                        <w:right w:val="none" w:sz="0" w:space="0" w:color="auto"/>
                      </w:divBdr>
                      <w:divsChild>
                        <w:div w:id="845369385">
                          <w:marLeft w:val="0"/>
                          <w:marRight w:val="0"/>
                          <w:marTop w:val="0"/>
                          <w:marBottom w:val="0"/>
                          <w:divBdr>
                            <w:top w:val="none" w:sz="0" w:space="0" w:color="auto"/>
                            <w:left w:val="none" w:sz="0" w:space="0" w:color="auto"/>
                            <w:bottom w:val="none" w:sz="0" w:space="0" w:color="auto"/>
                            <w:right w:val="none" w:sz="0" w:space="0" w:color="auto"/>
                          </w:divBdr>
                          <w:divsChild>
                            <w:div w:id="18955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955030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1149</Words>
  <Characters>5750</Characters>
  <Application>Microsoft Office Word</Application>
  <DocSecurity>0</DocSecurity>
  <Lines>47</Lines>
  <Paragraphs>13</Paragraphs>
  <ScaleCrop>false</ScaleCrop>
  <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 Arieli</dc:creator>
  <cp:keywords/>
  <dc:description/>
  <cp:lastModifiedBy>Shaul Arieli</cp:lastModifiedBy>
  <cp:revision>4</cp:revision>
  <dcterms:created xsi:type="dcterms:W3CDTF">2021-02-18T18:32:00Z</dcterms:created>
  <dcterms:modified xsi:type="dcterms:W3CDTF">2021-02-18T18:39:00Z</dcterms:modified>
</cp:coreProperties>
</file>