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417" w:rsidRDefault="00364417" w:rsidP="00364417">
      <w:pPr>
        <w:pStyle w:val="NormalWeb"/>
        <w:shd w:val="clear" w:color="auto" w:fill="FFFFFF"/>
        <w:bidi/>
        <w:spacing w:before="90" w:beforeAutospacing="0" w:after="90" w:afterAutospacing="0" w:line="276" w:lineRule="auto"/>
        <w:jc w:val="center"/>
        <w:rPr>
          <w:rFonts w:asciiTheme="minorBidi" w:hAnsiTheme="minorBidi" w:cstheme="minorBidi"/>
          <w:b/>
          <w:bCs/>
          <w:color w:val="1D2129"/>
          <w:rtl/>
        </w:rPr>
      </w:pPr>
      <w:r w:rsidRPr="00364417">
        <w:rPr>
          <w:rFonts w:asciiTheme="minorBidi" w:hAnsiTheme="minorBidi" w:cstheme="minorBidi"/>
          <w:b/>
          <w:bCs/>
          <w:color w:val="1D2129"/>
          <w:rtl/>
        </w:rPr>
        <w:t>ממשלת נתניהו מסכנת</w:t>
      </w:r>
      <w:r>
        <w:rPr>
          <w:rFonts w:asciiTheme="minorBidi" w:hAnsiTheme="minorBidi" w:cstheme="minorBidi"/>
          <w:b/>
          <w:bCs/>
          <w:color w:val="1D2129"/>
          <w:rtl/>
        </w:rPr>
        <w:t xml:space="preserve"> את השלום עם ירדן</w:t>
      </w:r>
      <w:bookmarkStart w:id="0" w:name="_GoBack"/>
      <w:bookmarkEnd w:id="0"/>
    </w:p>
    <w:p w:rsidR="00364417" w:rsidRPr="00364417" w:rsidRDefault="00364417" w:rsidP="00364417">
      <w:pPr>
        <w:pStyle w:val="NormalWeb"/>
        <w:shd w:val="clear" w:color="auto" w:fill="FFFFFF"/>
        <w:bidi/>
        <w:spacing w:before="90" w:beforeAutospacing="0" w:after="90" w:afterAutospacing="0" w:line="276" w:lineRule="auto"/>
        <w:jc w:val="center"/>
        <w:rPr>
          <w:rFonts w:asciiTheme="minorBidi" w:hAnsiTheme="minorBidi" w:cstheme="minorBidi"/>
          <w:b/>
          <w:bCs/>
          <w:color w:val="1D2129"/>
          <w:rtl/>
        </w:rPr>
      </w:pPr>
      <w:r>
        <w:rPr>
          <w:rFonts w:asciiTheme="minorBidi" w:hAnsiTheme="minorBidi" w:cstheme="minorBidi"/>
          <w:b/>
          <w:bCs/>
          <w:color w:val="1D2129"/>
          <w:rtl/>
        </w:rPr>
        <w:t>שאול אריאלי</w:t>
      </w:r>
      <w:r>
        <w:rPr>
          <w:rFonts w:asciiTheme="minorBidi" w:hAnsiTheme="minorBidi" w:cstheme="minorBidi" w:hint="cs"/>
          <w:b/>
          <w:bCs/>
          <w:color w:val="1D2129"/>
          <w:rtl/>
        </w:rPr>
        <w:t xml:space="preserve">, </w:t>
      </w:r>
      <w:r w:rsidRPr="00364417">
        <w:rPr>
          <w:rFonts w:asciiTheme="minorBidi" w:hAnsiTheme="minorBidi" w:cstheme="minorBidi"/>
          <w:b/>
          <w:bCs/>
          <w:color w:val="1D2129"/>
          <w:rtl/>
        </w:rPr>
        <w:t>הארץ, 25 באוקטובר 2018</w:t>
      </w:r>
    </w:p>
    <w:p w:rsidR="00364417" w:rsidRPr="00364417" w:rsidRDefault="00364417" w:rsidP="00364417">
      <w:pPr>
        <w:pStyle w:val="NormalWeb"/>
        <w:shd w:val="clear" w:color="auto" w:fill="FFFFFF"/>
        <w:bidi/>
        <w:spacing w:before="90" w:beforeAutospacing="0" w:after="90" w:afterAutospacing="0" w:line="276" w:lineRule="auto"/>
        <w:jc w:val="center"/>
        <w:rPr>
          <w:rFonts w:asciiTheme="minorBidi" w:hAnsiTheme="minorBidi" w:cstheme="minorBidi"/>
          <w:b/>
          <w:bCs/>
          <w:color w:val="1D2129"/>
          <w:rtl/>
        </w:rPr>
      </w:pPr>
      <w:hyperlink r:id="rId6" w:history="1">
        <w:r w:rsidRPr="00364417">
          <w:rPr>
            <w:rStyle w:val="Hyperlink"/>
            <w:rFonts w:asciiTheme="minorBidi" w:hAnsiTheme="minorBidi" w:cstheme="minorBidi"/>
            <w:b/>
            <w:bCs/>
          </w:rPr>
          <w:t>https://www.haaretz.co.il/opinions/.premium-1.6589829?utm_source=App_Share&amp;utm_medium=Android_Native&amp;utm_campaign=Share&amp;fbclid=IwAR2Bii35L2WciKzfoLTduAbDM7cFiKf-p6Aid6diZ5C3-cq9Zd97jxa6ABg</w:t>
        </w:r>
      </w:hyperlink>
    </w:p>
    <w:p w:rsidR="00364417" w:rsidRPr="00364417" w:rsidRDefault="00364417" w:rsidP="00364417">
      <w:pPr>
        <w:pStyle w:val="NormalWeb"/>
        <w:shd w:val="clear" w:color="auto" w:fill="FFFFFF"/>
        <w:bidi/>
        <w:spacing w:before="90" w:beforeAutospacing="0" w:after="90" w:afterAutospacing="0" w:line="276" w:lineRule="auto"/>
        <w:jc w:val="center"/>
        <w:rPr>
          <w:rFonts w:asciiTheme="minorBidi" w:hAnsiTheme="minorBidi" w:cstheme="minorBidi"/>
          <w:color w:val="1D2129"/>
        </w:rPr>
      </w:pPr>
    </w:p>
    <w:p w:rsidR="00364417" w:rsidRPr="00364417" w:rsidRDefault="00364417" w:rsidP="0036441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364417">
        <w:rPr>
          <w:rFonts w:asciiTheme="minorBidi" w:hAnsiTheme="minorBidi" w:cstheme="minorBidi"/>
          <w:color w:val="1D2129"/>
          <w:rtl/>
        </w:rPr>
        <w:t>רבים מאמצעי התקשורת בחרו להגדיר את החלטת המלך הירדני, עבדאללה השני, שלא להאריך את תוקפם של שני נספחים להסכם השלום עם ישראל, ביחס לשימוש של ישראלים באדמות מובלעת צופר בערבה (2,000 דונם), ובאזור "האי" בנהריים (כ-800 דונם), כ"ביטול חלק מההסכם". ההפתעה הפכה עד מהרה לטענות כנגד "כפיות הטובה" של הירדנים ולקריאות מתלהמות כנגד הממלכה</w:t>
      </w:r>
      <w:r w:rsidRPr="00364417">
        <w:rPr>
          <w:rFonts w:asciiTheme="minorBidi" w:hAnsiTheme="minorBidi" w:cstheme="minorBidi"/>
          <w:color w:val="1D2129"/>
        </w:rPr>
        <w:t>.</w:t>
      </w:r>
    </w:p>
    <w:p w:rsidR="00364417" w:rsidRPr="00364417" w:rsidRDefault="00364417" w:rsidP="0036441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364417">
        <w:rPr>
          <w:rFonts w:asciiTheme="minorBidi" w:hAnsiTheme="minorBidi" w:cstheme="minorBidi"/>
          <w:color w:val="1D2129"/>
          <w:rtl/>
        </w:rPr>
        <w:t>אך למעשה, מהלך זה מקיים כלשונו את הסכם השלום שנחתם בין ישראל לירדן ב-1994. חשוב מכך, הוא חוזר ומזכיר את המהלכים הישראליים שיצרו את הצורך בנספחים אלו, ומנגד את הנדיבות, ההבנה והסבלנות שהפגין המלך חוסיין שהסכים להם. ועוד מלמד מהלך זה על הקשר ההדוק בין הנושא הירדני לפלסטיני ,וחושף כיצד הקיפאון המדיני שהשיתה ממשלת נתניהו על התהליך עם הפלסטינים עלול לאיים על ההסכם עם ירדן המיטיב עמנו כבר רבע מאה</w:t>
      </w:r>
      <w:r w:rsidRPr="00364417">
        <w:rPr>
          <w:rFonts w:asciiTheme="minorBidi" w:hAnsiTheme="minorBidi" w:cstheme="minorBidi"/>
          <w:color w:val="1D2129"/>
        </w:rPr>
        <w:t>.</w:t>
      </w:r>
    </w:p>
    <w:p w:rsidR="00364417" w:rsidRPr="00364417" w:rsidRDefault="00364417" w:rsidP="0036441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364417">
        <w:rPr>
          <w:rFonts w:asciiTheme="minorBidi" w:hAnsiTheme="minorBidi" w:cstheme="minorBidi"/>
          <w:color w:val="1D2129"/>
          <w:rtl/>
        </w:rPr>
        <w:t xml:space="preserve">לאחר חתימת הסכם שביתת הנשק ב-1949, שבו חזר ונקבע באזור זה קו הגבול כפי שהוחלט ב-1922 על ידי הבריטים, אושר בידי חבר הלאומים ב-1923 והפך בינלאומי ב-1946, עם קבלת עצמאותה של ממלכת עבר הירדן, החלה ישראל בהקמת ישובים חקלאיים בערבה (כמו </w:t>
      </w:r>
      <w:proofErr w:type="spellStart"/>
      <w:r w:rsidRPr="00364417">
        <w:rPr>
          <w:rFonts w:asciiTheme="minorBidi" w:hAnsiTheme="minorBidi" w:cstheme="minorBidi"/>
          <w:color w:val="1D2129"/>
          <w:rtl/>
        </w:rPr>
        <w:t>יטבתה</w:t>
      </w:r>
      <w:proofErr w:type="spellEnd"/>
      <w:r w:rsidRPr="00364417">
        <w:rPr>
          <w:rFonts w:asciiTheme="minorBidi" w:hAnsiTheme="minorBidi" w:cstheme="minorBidi"/>
          <w:color w:val="1D2129"/>
          <w:rtl/>
        </w:rPr>
        <w:t xml:space="preserve"> ב-1952). בשל העובדה שאדמות העידית ומאגרי המים הקרקעיים נמצאו בצדו הירדני של הגבול, ישראל בחרה במדיניות של "סיפוח זוחל" והשתלטה על אדמות בשטחה הריבוני של ירדן, שאותן הקצתה לישובים כמו </w:t>
      </w:r>
      <w:proofErr w:type="spellStart"/>
      <w:r w:rsidRPr="00364417">
        <w:rPr>
          <w:rFonts w:asciiTheme="minorBidi" w:hAnsiTheme="minorBidi" w:cstheme="minorBidi"/>
          <w:color w:val="1D2129"/>
          <w:rtl/>
        </w:rPr>
        <w:t>יטבתה</w:t>
      </w:r>
      <w:proofErr w:type="spellEnd"/>
      <w:r w:rsidRPr="00364417">
        <w:rPr>
          <w:rFonts w:asciiTheme="minorBidi" w:hAnsiTheme="minorBidi" w:cstheme="minorBidi"/>
          <w:color w:val="1D2129"/>
          <w:rtl/>
        </w:rPr>
        <w:t>, לוטן, קטורה וגרופית. בכלל זה הוקצו, הרחק מהגבול, 2,000 דונם לישוב צופר, שהוקם ב-1976</w:t>
      </w:r>
      <w:r w:rsidRPr="00364417">
        <w:rPr>
          <w:rFonts w:asciiTheme="minorBidi" w:hAnsiTheme="minorBidi" w:cstheme="minorBidi"/>
          <w:color w:val="1D2129"/>
        </w:rPr>
        <w:t>.</w:t>
      </w:r>
    </w:p>
    <w:p w:rsidR="00364417" w:rsidRPr="00364417" w:rsidRDefault="00364417" w:rsidP="0036441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364417">
        <w:rPr>
          <w:rFonts w:asciiTheme="minorBidi" w:hAnsiTheme="minorBidi" w:cstheme="minorBidi"/>
          <w:color w:val="1D2129"/>
          <w:rtl/>
        </w:rPr>
        <w:t>בנוסף, קדחה ישראל בשטחה של ירדן 22 בארות מים שסיפקו 15 ממ"ק בערך לשנה. להשלמת "הפלישה", ישראל אף בנתה את דרך המערכת, דרך הטשטוש והגדר הביטחונית להגנה על ישובים אלו בתוך שטח ירדן. בפועל ישראל "סיפחה" שטח ירדני בהיקף של כמעט 400 אלף דונם - גדול משטחה של רצועת עזה</w:t>
      </w:r>
      <w:r w:rsidRPr="00364417">
        <w:rPr>
          <w:rFonts w:asciiTheme="minorBidi" w:hAnsiTheme="minorBidi" w:cstheme="minorBidi"/>
          <w:color w:val="1D2129"/>
        </w:rPr>
        <w:t>.</w:t>
      </w:r>
    </w:p>
    <w:p w:rsidR="00364417" w:rsidRPr="00364417" w:rsidRDefault="00364417" w:rsidP="0036441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364417">
        <w:rPr>
          <w:rFonts w:asciiTheme="minorBidi" w:hAnsiTheme="minorBidi" w:cstheme="minorBidi"/>
          <w:color w:val="1D2129"/>
          <w:rtl/>
        </w:rPr>
        <w:t>הסכם שביתת הנשק השאיר בצד של ישראל את "האי" בנהריים, 830 דונם גודלו, שנוצר כתוצאה מהקמת מפעל החשמל של רוטנברג ב-1927, ממזרח לנהר הירדן, שנקבע כגבול ב-1922. מיד לאחר מכן, החלו חקלאי הקיבוצים לעבד את האדמה. תלונות של ירדן בפני האו"ם כי ישראל השתלטה על שטחים לא הניבו כל תיקון</w:t>
      </w:r>
      <w:r w:rsidRPr="00364417">
        <w:rPr>
          <w:rFonts w:asciiTheme="minorBidi" w:hAnsiTheme="minorBidi" w:cstheme="minorBidi"/>
          <w:color w:val="1D2129"/>
        </w:rPr>
        <w:t>.</w:t>
      </w:r>
    </w:p>
    <w:p w:rsidR="00364417" w:rsidRPr="00364417" w:rsidRDefault="00364417" w:rsidP="0036441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364417">
        <w:rPr>
          <w:rFonts w:asciiTheme="minorBidi" w:hAnsiTheme="minorBidi" w:cstheme="minorBidi"/>
          <w:color w:val="1D2129"/>
          <w:rtl/>
        </w:rPr>
        <w:t>ביטול הסיפוח של הגדה המערבית על ידי המלך חוסיין ב-1988, והחתימה על הסכם אוסלו בין ישראל לאש"ף ב-1993, סללו את הדרך למשא ומתן על הסכם שלום בין ישראל לירדן</w:t>
      </w:r>
      <w:r w:rsidRPr="00364417">
        <w:rPr>
          <w:rFonts w:asciiTheme="minorBidi" w:hAnsiTheme="minorBidi" w:cstheme="minorBidi"/>
          <w:color w:val="1D2129"/>
        </w:rPr>
        <w:t>.</w:t>
      </w:r>
    </w:p>
    <w:p w:rsidR="00364417" w:rsidRPr="00364417" w:rsidRDefault="00364417" w:rsidP="0036441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364417">
        <w:rPr>
          <w:rFonts w:asciiTheme="minorBidi" w:hAnsiTheme="minorBidi" w:cstheme="minorBidi"/>
          <w:color w:val="1D2129"/>
          <w:rtl/>
        </w:rPr>
        <w:t xml:space="preserve">במהלך המו"מ הירדנים תבעו החזרת "כל גרגר אדמה" במודל המצרי, ונאחזו בקו שביתת הנשק של 1949, שתאם באזור הזה את הקו שנקבע ב-1922. ישראל, שנכוותה בפרשת הבוררות עם מצרים בנושא טאבה, חששה מתוצאה דומה. לאחר שהירדנים דחו את התמרונים המשפטיים שהוצגו על ידה, כמו הטענות שלא ברור מהו "ואדי ערבה" ומה זה "אמצע ואדי </w:t>
      </w:r>
      <w:r w:rsidRPr="00364417">
        <w:rPr>
          <w:rFonts w:asciiTheme="minorBidi" w:hAnsiTheme="minorBidi" w:cstheme="minorBidi"/>
          <w:color w:val="1D2129"/>
          <w:rtl/>
        </w:rPr>
        <w:lastRenderedPageBreak/>
        <w:t>ערבה", מונחים שהופיעו בהצהרה בריטית מ-1922, עברה ישראל לחפש פתרונות יצירתיים שימנעו את החזרת האדמות</w:t>
      </w:r>
      <w:r w:rsidRPr="00364417">
        <w:rPr>
          <w:rFonts w:asciiTheme="minorBidi" w:hAnsiTheme="minorBidi" w:cstheme="minorBidi"/>
          <w:color w:val="1D2129"/>
        </w:rPr>
        <w:t>.</w:t>
      </w:r>
    </w:p>
    <w:p w:rsidR="00364417" w:rsidRPr="00364417" w:rsidRDefault="00364417" w:rsidP="0036441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364417">
        <w:rPr>
          <w:rFonts w:asciiTheme="minorBidi" w:hAnsiTheme="minorBidi" w:cstheme="minorBidi"/>
          <w:color w:val="1D2129"/>
          <w:rtl/>
        </w:rPr>
        <w:t>בכדי לגשר על הפערים בין הצדדים עלה רעיון של חילופי שטחים, שלימים ייעשה בו שימוש נרחב יותר במו"מ בין ישראל לאש"ף. המלך חוסיין נעתר, והשטחים שמעבדים יישובי הערבה ממזרח לקו הגבול נשארו בידי ישראל, ותמורתם קיבלה ירדן אדמת טרשים בשטח ישראל, בגב הערבה שממערב לגבול. כ-16.5 קמ"ר הוחלפו ביחס של אחד לאחד, ושאר השטח הותאם לקו המנדטורי על ידי כך שהוחזרו לירדן 300 קמ"ר שישראל השתלטה עליהם בין שנות ה-60 לשנות ה-80. שאלת חילופי השטחים אינה נזכרת בחוזה השלום, אבל יש בו הפניה לתצלומי אוויר שצורפו לו</w:t>
      </w:r>
      <w:r w:rsidRPr="00364417">
        <w:rPr>
          <w:rFonts w:asciiTheme="minorBidi" w:hAnsiTheme="minorBidi" w:cstheme="minorBidi"/>
          <w:color w:val="1D2129"/>
        </w:rPr>
        <w:t>.</w:t>
      </w:r>
    </w:p>
    <w:p w:rsidR="00364417" w:rsidRPr="00364417" w:rsidRDefault="00364417" w:rsidP="0036441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364417">
        <w:rPr>
          <w:rFonts w:asciiTheme="minorBidi" w:hAnsiTheme="minorBidi" w:cstheme="minorBidi"/>
          <w:color w:val="1D2129"/>
          <w:rtl/>
        </w:rPr>
        <w:t>אשר לשטח "האי" באזור נהריים שבצפון, כאן נקבע "משטר מיוחד" ל-25 שנה, שבהן הוכרה ריבונות ירדן על השטח, והוכר עיבוד השטח והתיירות מישראל באזור "האי" בידי תושבי קיבוץ אשדות יעקב, על פי הסדרים משפטיים מיוחדים, עם אפשרות להארכה של 25 שנים נוספות. באזור מושב צופר שבערבה, שאדמותיו המעובדות היו ממזרח לקו שנקבע, הוסכם על משטר מיוחד דומה, כדי לאפשר את המשך העיבוד החקלאי</w:t>
      </w:r>
      <w:r w:rsidRPr="00364417">
        <w:rPr>
          <w:rFonts w:asciiTheme="minorBidi" w:hAnsiTheme="minorBidi" w:cstheme="minorBidi"/>
          <w:color w:val="1D2129"/>
        </w:rPr>
        <w:t>.</w:t>
      </w:r>
    </w:p>
    <w:p w:rsidR="00364417" w:rsidRPr="00364417" w:rsidRDefault="00364417" w:rsidP="0036441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364417">
        <w:rPr>
          <w:rFonts w:asciiTheme="minorBidi" w:hAnsiTheme="minorBidi" w:cstheme="minorBidi"/>
          <w:color w:val="1D2129"/>
          <w:rtl/>
        </w:rPr>
        <w:t>בשני המקרים אין מדובר בחכירה, וישראל או הישובים אינם משלמים לירדן בעבור השימוש בשטחים אלו. כמו כן הוסכם שישראל תעביר לירדן 50 מיליון ממ"ק מים לשנה מהכינרת, תמורת האפשרות לשאוב מים מקידוחים שבוצעו בשטח ירדן</w:t>
      </w:r>
      <w:r w:rsidRPr="00364417">
        <w:rPr>
          <w:rFonts w:asciiTheme="minorBidi" w:hAnsiTheme="minorBidi" w:cstheme="minorBidi"/>
          <w:color w:val="1D2129"/>
        </w:rPr>
        <w:t>.</w:t>
      </w:r>
    </w:p>
    <w:p w:rsidR="00364417" w:rsidRPr="00364417" w:rsidRDefault="00364417" w:rsidP="0036441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364417">
        <w:rPr>
          <w:rFonts w:asciiTheme="minorBidi" w:hAnsiTheme="minorBidi" w:cstheme="minorBidi"/>
          <w:color w:val="1D2129"/>
          <w:rtl/>
        </w:rPr>
        <w:t>עצוב לגלות כי תושבים חדשים שהצטרפו לצופר, כמו ארז גיבורי, לא יודעו ולא הכירו את ההסכמים הללו. גיבורי, המעבד כ-80 דונם במובלעת צופר מזה עשר שנים, הסביר בשיחה עם "הארץ" כי סבר ששטחים אלו עברו לישראל בהסכם השלום ו"היום אני מבין שזה לא נכון</w:t>
      </w:r>
      <w:r w:rsidRPr="00364417">
        <w:rPr>
          <w:rFonts w:asciiTheme="minorBidi" w:hAnsiTheme="minorBidi" w:cstheme="minorBidi"/>
          <w:color w:val="1D2129"/>
        </w:rPr>
        <w:t>".</w:t>
      </w:r>
    </w:p>
    <w:p w:rsidR="00364417" w:rsidRPr="00364417" w:rsidRDefault="00364417" w:rsidP="0036441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364417">
        <w:rPr>
          <w:rFonts w:asciiTheme="minorBidi" w:hAnsiTheme="minorBidi" w:cstheme="minorBidi"/>
          <w:color w:val="1D2129"/>
          <w:rtl/>
        </w:rPr>
        <w:t>גם אם נתניהו יצליח בסיוע אמריקאי להסיר את רוע גזרה, עצוב יותר לגלות, שממשלות ישראל לא טרחו להיערך מבעוד מועד לאפשרות הזו, שעליה חתמו בהסכם. בדיוק כמו שממשלת נתניהו דחתה את ההמלצה המרכזית של ועדת החקירה הממלכתית לתוכנית ההתנתקות, שקבעה בדו"ח ב-2010 כי "הלקח הכי חשוב של ועדת החקירה הוא ההוראה לראש הממשלה לתכנן היום תכנון לאומי מקיף של פינוי אפשרי של 100 אלף איש מהגדה המערבית, כדי להקטין את הטראומה האישית, הקולקטיבית והלאומית, כדי לחסוך עלויות וכדי לקלוט אנשים באופן האחראי, הממלכתי, התקין והנכון, כפי שמדינה זו קלטה מיליון עולים בשנות ה-90</w:t>
      </w:r>
      <w:r w:rsidRPr="00364417">
        <w:rPr>
          <w:rFonts w:asciiTheme="minorBidi" w:hAnsiTheme="minorBidi" w:cstheme="minorBidi"/>
          <w:color w:val="1D2129"/>
        </w:rPr>
        <w:t>".</w:t>
      </w:r>
    </w:p>
    <w:p w:rsidR="00364417" w:rsidRPr="00364417" w:rsidRDefault="00364417" w:rsidP="00364417">
      <w:pPr>
        <w:pStyle w:val="NormalWeb"/>
        <w:shd w:val="clear" w:color="auto" w:fill="FFFFFF"/>
        <w:bidi/>
        <w:spacing w:before="90" w:beforeAutospacing="0" w:after="90" w:afterAutospacing="0" w:line="276" w:lineRule="auto"/>
        <w:jc w:val="both"/>
        <w:rPr>
          <w:rFonts w:asciiTheme="minorBidi" w:hAnsiTheme="minorBidi" w:cstheme="minorBidi"/>
          <w:color w:val="1D2129"/>
        </w:rPr>
      </w:pPr>
      <w:r w:rsidRPr="00364417">
        <w:rPr>
          <w:rFonts w:asciiTheme="minorBidi" w:hAnsiTheme="minorBidi" w:cstheme="minorBidi"/>
          <w:color w:val="1D2129"/>
          <w:rtl/>
        </w:rPr>
        <w:t xml:space="preserve">ממשלת נתניהו הטילה את כל יהבה על רצונה הטוב של ירדן. ל"אסטרטגיה" זו היה סיכוי טוב יותר במערכת היחסים שהתנהלה בתקופת רבין וחוסיין, או עת ישראל חתרה להסכם קבע עם הפלסטינים בימי ברק ואולמרט. כיום, קשה למלך לשאת את לחץ הציבור והפרלמנט כנגד הנורמליזציה </w:t>
      </w:r>
      <w:proofErr w:type="spellStart"/>
      <w:r w:rsidRPr="00364417">
        <w:rPr>
          <w:rFonts w:asciiTheme="minorBidi" w:hAnsiTheme="minorBidi" w:cstheme="minorBidi"/>
          <w:color w:val="1D2129"/>
          <w:rtl/>
        </w:rPr>
        <w:t>והשת"פ</w:t>
      </w:r>
      <w:proofErr w:type="spellEnd"/>
      <w:r w:rsidRPr="00364417">
        <w:rPr>
          <w:rFonts w:asciiTheme="minorBidi" w:hAnsiTheme="minorBidi" w:cstheme="minorBidi"/>
          <w:color w:val="1D2129"/>
          <w:rtl/>
        </w:rPr>
        <w:t xml:space="preserve"> הביטחוני שהממלכה מקיימת עם ישראל. הקולות בכנסת ישראל ובממשלה, הקוראים ל"ירדן כמולדת הפלסטינית", להענקת אזרחות ירדנית לתושבי הגדה המערבית ואף לגירוש המוני בלהט המלחמה הבאה, נתפשים בירדן כפגיעה בהסכם השלום וכאיום על עתידה, כתוצאה מערעור יציבות הממלכה </w:t>
      </w:r>
      <w:proofErr w:type="spellStart"/>
      <w:r w:rsidRPr="00364417">
        <w:rPr>
          <w:rFonts w:asciiTheme="minorBidi" w:hAnsiTheme="minorBidi" w:cstheme="minorBidi"/>
          <w:color w:val="1D2129"/>
          <w:rtl/>
        </w:rPr>
        <w:t>וכלכלתה</w:t>
      </w:r>
      <w:proofErr w:type="spellEnd"/>
      <w:r w:rsidRPr="00364417">
        <w:rPr>
          <w:rFonts w:asciiTheme="minorBidi" w:hAnsiTheme="minorBidi" w:cstheme="minorBidi"/>
          <w:color w:val="1D2129"/>
          <w:rtl/>
        </w:rPr>
        <w:t xml:space="preserve"> הרעועה כל כך</w:t>
      </w:r>
      <w:r w:rsidRPr="00364417">
        <w:rPr>
          <w:rFonts w:asciiTheme="minorBidi" w:hAnsiTheme="minorBidi" w:cstheme="minorBidi"/>
          <w:color w:val="1D2129"/>
        </w:rPr>
        <w:t>.</w:t>
      </w:r>
    </w:p>
    <w:p w:rsidR="00364417" w:rsidRPr="00364417" w:rsidRDefault="00364417" w:rsidP="00364417">
      <w:pPr>
        <w:pStyle w:val="NormalWeb"/>
        <w:shd w:val="clear" w:color="auto" w:fill="FFFFFF"/>
        <w:bidi/>
        <w:spacing w:before="90" w:beforeAutospacing="0" w:after="0" w:afterAutospacing="0" w:line="276" w:lineRule="auto"/>
        <w:jc w:val="both"/>
        <w:rPr>
          <w:rFonts w:asciiTheme="minorBidi" w:hAnsiTheme="minorBidi" w:cstheme="minorBidi"/>
          <w:color w:val="1D2129"/>
        </w:rPr>
      </w:pPr>
      <w:r w:rsidRPr="00364417">
        <w:rPr>
          <w:rFonts w:asciiTheme="minorBidi" w:hAnsiTheme="minorBidi" w:cstheme="minorBidi"/>
          <w:color w:val="1D2129"/>
          <w:rtl/>
        </w:rPr>
        <w:t xml:space="preserve">מדיניות ממשלת נתניהו המחזקת את "הסיפוח </w:t>
      </w:r>
      <w:proofErr w:type="spellStart"/>
      <w:r w:rsidRPr="00364417">
        <w:rPr>
          <w:rFonts w:asciiTheme="minorBidi" w:hAnsiTheme="minorBidi" w:cstheme="minorBidi"/>
          <w:color w:val="1D2129"/>
          <w:rtl/>
        </w:rPr>
        <w:t>הזוחל"בדרכה</w:t>
      </w:r>
      <w:proofErr w:type="spellEnd"/>
      <w:r w:rsidRPr="00364417">
        <w:rPr>
          <w:rFonts w:asciiTheme="minorBidi" w:hAnsiTheme="minorBidi" w:cstheme="minorBidi"/>
          <w:color w:val="1D2129"/>
          <w:rtl/>
        </w:rPr>
        <w:t xml:space="preserve"> למהלכי סיפוח בגדה המערבית באמצעות חוק, ייאלצו את המלך להשעות ואף לבטל את הסכם השלום עם ישראל, המעניק לה עומק אסטרטגי כנגד איומים ממזרח, ושומר את גבולה המזרחי של ישראל כנגד תנועות הטרור של </w:t>
      </w:r>
      <w:proofErr w:type="spellStart"/>
      <w:r w:rsidRPr="00364417">
        <w:rPr>
          <w:rFonts w:asciiTheme="minorBidi" w:hAnsiTheme="minorBidi" w:cstheme="minorBidi"/>
          <w:color w:val="1D2129"/>
          <w:rtl/>
        </w:rPr>
        <w:t>האיסלאם</w:t>
      </w:r>
      <w:proofErr w:type="spellEnd"/>
      <w:r w:rsidRPr="00364417">
        <w:rPr>
          <w:rFonts w:asciiTheme="minorBidi" w:hAnsiTheme="minorBidi" w:cstheme="minorBidi"/>
          <w:color w:val="1D2129"/>
          <w:rtl/>
        </w:rPr>
        <w:t xml:space="preserve"> הרדיקלי והפוליטי על גבול עיראק וירדן</w:t>
      </w:r>
      <w:r w:rsidRPr="00364417">
        <w:rPr>
          <w:rFonts w:asciiTheme="minorBidi" w:hAnsiTheme="minorBidi" w:cstheme="minorBidi"/>
          <w:color w:val="1D2129"/>
        </w:rPr>
        <w:t>.</w:t>
      </w:r>
    </w:p>
    <w:p w:rsidR="00ED345E" w:rsidRPr="00364417" w:rsidRDefault="00565B72" w:rsidP="00364417">
      <w:pPr>
        <w:spacing w:line="276" w:lineRule="auto"/>
        <w:jc w:val="both"/>
        <w:rPr>
          <w:rFonts w:asciiTheme="minorBidi" w:hAnsiTheme="minorBidi"/>
          <w:sz w:val="24"/>
          <w:szCs w:val="24"/>
        </w:rPr>
      </w:pPr>
    </w:p>
    <w:sectPr w:rsidR="00ED345E" w:rsidRPr="00364417" w:rsidSect="00747A3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B72" w:rsidRDefault="00565B72" w:rsidP="00364417">
      <w:pPr>
        <w:spacing w:after="0" w:line="240" w:lineRule="auto"/>
      </w:pPr>
      <w:r>
        <w:separator/>
      </w:r>
    </w:p>
  </w:endnote>
  <w:endnote w:type="continuationSeparator" w:id="0">
    <w:p w:rsidR="00565B72" w:rsidRDefault="00565B72" w:rsidP="0036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B72" w:rsidRDefault="00565B72" w:rsidP="00364417">
      <w:pPr>
        <w:spacing w:after="0" w:line="240" w:lineRule="auto"/>
      </w:pPr>
      <w:r>
        <w:separator/>
      </w:r>
    </w:p>
  </w:footnote>
  <w:footnote w:type="continuationSeparator" w:id="0">
    <w:p w:rsidR="00565B72" w:rsidRDefault="00565B72" w:rsidP="003644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17"/>
    <w:rsid w:val="00364417"/>
    <w:rsid w:val="00565B72"/>
    <w:rsid w:val="00747A3C"/>
    <w:rsid w:val="00BF02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0640A-7D51-459B-AF69-3D426B11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36441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364417"/>
    <w:pPr>
      <w:tabs>
        <w:tab w:val="center" w:pos="4153"/>
        <w:tab w:val="right" w:pos="8306"/>
      </w:tabs>
      <w:spacing w:after="0" w:line="240" w:lineRule="auto"/>
    </w:pPr>
  </w:style>
  <w:style w:type="character" w:customStyle="1" w:styleId="a4">
    <w:name w:val="כותרת עליונה תו"/>
    <w:basedOn w:val="a0"/>
    <w:link w:val="a3"/>
    <w:uiPriority w:val="99"/>
    <w:rsid w:val="00364417"/>
  </w:style>
  <w:style w:type="paragraph" w:styleId="a5">
    <w:name w:val="footer"/>
    <w:basedOn w:val="a"/>
    <w:link w:val="a6"/>
    <w:uiPriority w:val="99"/>
    <w:unhideWhenUsed/>
    <w:rsid w:val="00364417"/>
    <w:pPr>
      <w:tabs>
        <w:tab w:val="center" w:pos="4153"/>
        <w:tab w:val="right" w:pos="8306"/>
      </w:tabs>
      <w:spacing w:after="0" w:line="240" w:lineRule="auto"/>
    </w:pPr>
  </w:style>
  <w:style w:type="character" w:customStyle="1" w:styleId="a6">
    <w:name w:val="כותרת תחתונה תו"/>
    <w:basedOn w:val="a0"/>
    <w:link w:val="a5"/>
    <w:uiPriority w:val="99"/>
    <w:rsid w:val="00364417"/>
  </w:style>
  <w:style w:type="character" w:styleId="Hyperlink">
    <w:name w:val="Hyperlink"/>
    <w:basedOn w:val="a0"/>
    <w:uiPriority w:val="99"/>
    <w:unhideWhenUsed/>
    <w:rsid w:val="003644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3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il/opinions/.premium-1.6589829?utm_source=App_Share&amp;utm_medium=Android_Native&amp;utm_campaign=Share&amp;fbclid=IwAR2Bii35L2WciKzfoLTduAbDM7cFiKf-p6Aid6diZ5C3-cq9Zd97jxa6AB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909</Words>
  <Characters>4545</Characters>
  <Application>Microsoft Office Word</Application>
  <DocSecurity>0</DocSecurity>
  <Lines>37</Lines>
  <Paragraphs>10</Paragraphs>
  <ScaleCrop>false</ScaleCrop>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dc:creator>
  <cp:keywords/>
  <dc:description/>
  <cp:lastModifiedBy>מעין</cp:lastModifiedBy>
  <cp:revision>1</cp:revision>
  <dcterms:created xsi:type="dcterms:W3CDTF">2018-10-25T10:06:00Z</dcterms:created>
  <dcterms:modified xsi:type="dcterms:W3CDTF">2018-10-25T10:10:00Z</dcterms:modified>
</cp:coreProperties>
</file>